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华文仿宋" w:hAnsi="华文仿宋" w:eastAsia="华文仿宋" w:cs="华文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华文中宋" w:hAnsi="华文中宋" w:eastAsia="华文中宋" w:cs="华文中宋"/>
          <w:b w:val="0"/>
          <w:bCs w:val="0"/>
          <w:sz w:val="36"/>
          <w:szCs w:val="21"/>
          <w:lang w:val="en-US" w:eastAsia="zh-CN"/>
        </w:rPr>
      </w:pPr>
      <w:bookmarkStart w:id="1" w:name="_GoBack"/>
      <w:bookmarkStart w:id="0" w:name="OLE_LINK5"/>
      <w:r>
        <w:rPr>
          <w:rFonts w:hint="eastAsia" w:ascii="华文中宋" w:hAnsi="华文中宋" w:eastAsia="华文中宋" w:cs="华文中宋"/>
          <w:b w:val="0"/>
          <w:bCs w:val="0"/>
          <w:sz w:val="36"/>
          <w:szCs w:val="21"/>
          <w:lang w:val="en-US" w:eastAsia="zh-CN"/>
        </w:rPr>
        <w:t>湖北师范大学50周年校庆专刊</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华文中宋" w:hAnsi="华文中宋" w:eastAsia="华文中宋" w:cs="华文中宋"/>
          <w:b w:val="0"/>
          <w:bCs w:val="0"/>
          <w:sz w:val="36"/>
          <w:szCs w:val="21"/>
          <w:lang w:val="en-US" w:eastAsia="zh-CN"/>
        </w:rPr>
      </w:pPr>
      <w:r>
        <w:rPr>
          <w:rFonts w:hint="eastAsia" w:ascii="华文中宋" w:hAnsi="华文中宋" w:eastAsia="华文中宋" w:cs="华文中宋"/>
          <w:b w:val="0"/>
          <w:bCs w:val="0"/>
          <w:sz w:val="36"/>
          <w:szCs w:val="21"/>
          <w:lang w:val="en-US" w:eastAsia="zh-CN"/>
        </w:rPr>
        <w:t>投稿须知</w:t>
      </w:r>
    </w:p>
    <w:bookmarkEnd w:id="1"/>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华文中宋" w:hAnsi="华文中宋" w:eastAsia="华文中宋" w:cs="华文中宋"/>
          <w:b w:val="0"/>
          <w:bCs w:val="0"/>
          <w:sz w:val="28"/>
          <w:szCs w:val="18"/>
          <w:lang w:val="en-US" w:eastAsia="zh-CN"/>
        </w:rPr>
      </w:pPr>
      <w:r>
        <w:rPr>
          <w:rFonts w:hint="eastAsia" w:ascii="华文中宋" w:hAnsi="华文中宋" w:eastAsia="华文中宋" w:cs="华文中宋"/>
          <w:b w:val="0"/>
          <w:bCs w:val="0"/>
          <w:sz w:val="28"/>
          <w:szCs w:val="18"/>
          <w:lang w:val="en-US" w:eastAsia="zh-CN"/>
        </w:rPr>
        <w:t>（一）《湖北师范大学学报（哲学社会科学版）》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《湖北师范大学学报（哲学社会科学版）》校庆专刊欢迎全校师生和广大校友投稿。来稿请做到：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一、论文类须观点正确，论点明确，选题有一定的意义，具有一定的创新性和较高的学术水平；经验总结、个人感悟、校史文献应注意概括和提炼，主题明确，重点突出，逻辑严密，语言流畅，切忌面面俱到。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符合编辑规范。其排列顺序为：征文题目、作者姓名、作者单位、所在城市名、邮政编码、作者简介（姓名、性别、籍贯、单位、职称（职位）、学历学位、毕业届别、通信地址及手机号码）、中文摘要（300字以内）、中文关键词（3—5个）、中图分类号、正文、参考文献，以及论文题目、作者姓名、作者单位、所在城市名、中文摘要、关键词的英文翻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参考文献的著录项目要齐全，次序要分明。如专著、论文集、学位论文、报告的顺序是：文献主要责任者、文献题名、文献类型标识码、出版地、出版者、出版年，起止页码。期刊文章的顺序是：主要责任者、文献题名、文献类型标识码、刊名、年、卷（期）、起止页码。论文集中析出文献的顺序是：析出文献主要责任者、析出文献题名、原文献主要责任者、原文献题名、出版地、出版者、出版年、析出文献起止页码。报纸文章的顺序是：主要责任者、文献题名、报纸名、出版日期、版次。参考文献在正文中采用顺序编码制，在引文结束处按论文中引用文献出现的先后以阿拉伯数字连续编码，序号置于方括号内。一种文献在同一文中被反复引用者，用同一序号标示，需要表明引文具体出处的，可在序号后加圆括号注明页码或章、节、篇名。文后参考文献的排列顺序必须与正文中的序号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四、文中图表只附最必要的，插图线条要匀，图中文字、符号要标注清楚并与正文一致。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五、如获基金资助，请注明项目名称及编码。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六、勿一稿多投，如三个月内未收到本刊录用通知，作者可自行处理。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七、如不允许本刊对来稿作文字性修改或少量内容的删改，或不同意被其他报刊、数据库等转载、摘编，请在来稿时声明。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八、请通过征稿专用邮箱投稿，哲学社会科学版投稿邮箱：</w:t>
      </w:r>
      <w:r>
        <w:rPr>
          <w:rFonts w:hint="eastAsia" w:ascii="宋体" w:hAnsi="宋体" w:eastAsia="宋体" w:cs="宋体"/>
          <w:color w:val="C00000"/>
          <w:sz w:val="24"/>
          <w:szCs w:val="24"/>
          <w:lang w:val="en-US" w:eastAsia="zh-CN"/>
        </w:rPr>
        <w:fldChar w:fldCharType="begin"/>
      </w:r>
      <w:r>
        <w:rPr>
          <w:rFonts w:hint="eastAsia" w:ascii="宋体" w:hAnsi="宋体" w:eastAsia="宋体" w:cs="宋体"/>
          <w:color w:val="C00000"/>
          <w:sz w:val="24"/>
          <w:szCs w:val="24"/>
          <w:lang w:val="en-US" w:eastAsia="zh-CN"/>
        </w:rPr>
        <w:instrText xml:space="preserve"> HYPERLINK "mailto:zcz@hbnu.edu.cn" </w:instrText>
      </w:r>
      <w:r>
        <w:rPr>
          <w:rFonts w:hint="eastAsia" w:ascii="宋体" w:hAnsi="宋体" w:eastAsia="宋体" w:cs="宋体"/>
          <w:color w:val="C00000"/>
          <w:sz w:val="24"/>
          <w:szCs w:val="24"/>
          <w:lang w:val="en-US" w:eastAsia="zh-CN"/>
        </w:rPr>
        <w:fldChar w:fldCharType="separate"/>
      </w:r>
      <w:r>
        <w:rPr>
          <w:rStyle w:val="8"/>
          <w:rFonts w:hint="eastAsia" w:ascii="宋体" w:hAnsi="宋体" w:eastAsia="宋体" w:cs="宋体"/>
          <w:color w:val="C00000"/>
          <w:sz w:val="24"/>
          <w:szCs w:val="24"/>
          <w:lang w:val="en-US" w:eastAsia="zh-CN"/>
        </w:rPr>
        <w:t>zcz@hbnu.edu.cn</w:t>
      </w:r>
      <w:r>
        <w:rPr>
          <w:rFonts w:hint="eastAsia" w:ascii="宋体" w:hAnsi="宋体" w:eastAsia="宋体" w:cs="宋体"/>
          <w:color w:val="C0000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华文仿宋" w:hAnsi="华文仿宋" w:eastAsia="华文仿宋" w:cs="华文仿宋"/>
          <w:sz w:val="24"/>
          <w:szCs w:val="24"/>
          <w:lang w:val="en-US" w:eastAsia="zh-CN"/>
        </w:rPr>
      </w:pPr>
    </w:p>
    <w:p>
      <w:pPr>
        <w:pageBreakBefore w:val="0"/>
        <w:kinsoku/>
        <w:wordWrap/>
        <w:overflowPunct/>
        <w:topLinePunct w:val="0"/>
        <w:bidi w:val="0"/>
        <w:snapToGrid/>
        <w:spacing w:beforeAutospacing="0" w:afterAutospacing="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附参考示例：</w:t>
      </w:r>
    </w:p>
    <w:p>
      <w:pPr>
        <w:pageBreakBefore w:val="0"/>
        <w:kinsoku/>
        <w:wordWrap/>
        <w:overflowPunct/>
        <w:topLinePunct w:val="0"/>
        <w:bidi w:val="0"/>
        <w:snapToGrid/>
        <w:spacing w:beforeAutospacing="0" w:afterAutospacing="0"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马克思恩格斯女性思想的时代价值</w:t>
      </w:r>
    </w:p>
    <w:p>
      <w:pPr>
        <w:pageBreakBefore w:val="0"/>
        <w:kinsoku/>
        <w:wordWrap/>
        <w:overflowPunct/>
        <w:topLinePunct w:val="0"/>
        <w:bidi w:val="0"/>
        <w:snapToGrid/>
        <w:spacing w:beforeAutospacing="0" w:afterAutospacing="0" w:line="360" w:lineRule="auto"/>
        <w:jc w:val="center"/>
        <w:textAlignment w:val="auto"/>
        <w:rPr>
          <w:rFonts w:hint="default"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——以女性参与基层社会治理为例</w:t>
      </w:r>
    </w:p>
    <w:p>
      <w:pPr>
        <w:pageBreakBefore w:val="0"/>
        <w:kinsoku/>
        <w:wordWrap/>
        <w:overflowPunct/>
        <w:topLinePunct w:val="0"/>
        <w:bidi w:val="0"/>
        <w:snapToGrid/>
        <w:spacing w:beforeAutospacing="0" w:afterAutospacing="0" w:line="360" w:lineRule="auto"/>
        <w:jc w:val="center"/>
        <w:textAlignment w:val="auto"/>
        <w:rPr>
          <w:rFonts w:ascii="楷体" w:hAnsi="楷体" w:eastAsia="楷体" w:cs="楷体"/>
          <w:sz w:val="24"/>
          <w:szCs w:val="24"/>
        </w:rPr>
      </w:pPr>
      <w:r>
        <w:rPr>
          <w:rFonts w:hint="eastAsia" w:ascii="楷体" w:hAnsi="楷体" w:eastAsia="楷体" w:cs="楷体"/>
          <w:sz w:val="24"/>
          <w:szCs w:val="24"/>
          <w:lang w:val="en-US" w:eastAsia="zh-CN"/>
        </w:rPr>
        <w:t>张 三</w:t>
      </w:r>
      <w:r>
        <w:rPr>
          <w:rFonts w:hint="eastAsia" w:ascii="楷体" w:hAnsi="楷体" w:eastAsia="楷体" w:cs="楷体"/>
          <w:sz w:val="24"/>
          <w:szCs w:val="24"/>
        </w:rPr>
        <w:footnoteReference w:id="0" w:customMarkFollows="1"/>
        <w:t xml:space="preserve"> </w:t>
      </w:r>
    </w:p>
    <w:p>
      <w:pPr>
        <w:pageBreakBefore w:val="0"/>
        <w:kinsoku/>
        <w:wordWrap/>
        <w:overflowPunct/>
        <w:topLinePunct w:val="0"/>
        <w:bidi w:val="0"/>
        <w:snapToGrid/>
        <w:spacing w:beforeAutospacing="0" w:afterAutospacing="0" w:line="360" w:lineRule="auto"/>
        <w:jc w:val="center"/>
        <w:textAlignment w:val="auto"/>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北京</w:t>
      </w:r>
      <w:r>
        <w:rPr>
          <w:rFonts w:hint="eastAsia" w:ascii="仿宋" w:hAnsi="仿宋" w:eastAsia="仿宋" w:cs="仿宋"/>
          <w:sz w:val="24"/>
          <w:szCs w:val="24"/>
        </w:rPr>
        <w:t>大学</w:t>
      </w:r>
      <w:r>
        <w:rPr>
          <w:rFonts w:hint="eastAsia" w:ascii="仿宋" w:hAnsi="仿宋" w:eastAsia="仿宋" w:cs="仿宋"/>
          <w:sz w:val="24"/>
          <w:szCs w:val="24"/>
          <w:lang w:val="en-US" w:eastAsia="zh-CN"/>
        </w:rPr>
        <w:t xml:space="preserve">  马克思主义学院</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北京  100071</w:t>
      </w:r>
      <w:r>
        <w:rPr>
          <w:rFonts w:hint="eastAsia" w:ascii="仿宋" w:hAnsi="仿宋" w:eastAsia="仿宋" w:cs="仿宋"/>
          <w:sz w:val="24"/>
          <w:szCs w:val="24"/>
        </w:rPr>
        <w:t>）</w:t>
      </w:r>
    </w:p>
    <w:p>
      <w:pPr>
        <w:pageBreakBefore w:val="0"/>
        <w:kinsoku/>
        <w:wordWrap/>
        <w:overflowPunct/>
        <w:topLinePunct w:val="0"/>
        <w:bidi w:val="0"/>
        <w:snapToGrid/>
        <w:spacing w:beforeAutospacing="0" w:afterAutospacing="0" w:line="360" w:lineRule="auto"/>
        <w:ind w:firstLine="482" w:firstLineChars="200"/>
        <w:jc w:val="left"/>
        <w:textAlignment w:val="auto"/>
        <w:rPr>
          <w:rFonts w:ascii="楷体" w:hAnsi="楷体" w:eastAsia="楷体" w:cs="楷体"/>
          <w:sz w:val="24"/>
          <w:szCs w:val="24"/>
        </w:rPr>
      </w:pPr>
      <w:r>
        <w:rPr>
          <w:rFonts w:hint="eastAsia" w:ascii="宋体" w:hAnsi="宋体" w:eastAsia="宋体" w:cs="宋体"/>
          <w:b/>
          <w:bCs/>
          <w:sz w:val="24"/>
          <w:szCs w:val="24"/>
        </w:rPr>
        <w:t>摘  要：</w:t>
      </w:r>
      <w:r>
        <w:rPr>
          <w:rFonts w:hint="eastAsia" w:ascii="楷体" w:hAnsi="楷体" w:eastAsia="楷体" w:cs="楷体"/>
          <w:sz w:val="24"/>
          <w:szCs w:val="24"/>
        </w:rPr>
        <w:t>从性别视角直面基层社会治理中的女性参与问题能更好促进国家治理体系和治理能力现代化。占总人口一半的中国女性早已成为一股重要的社会参与力量，然而由于婚姻家庭、</w:t>
      </w:r>
      <w:r>
        <w:rPr>
          <w:rFonts w:hint="eastAsia" w:ascii="楷体" w:hAnsi="楷体" w:eastAsia="楷体" w:cs="楷体"/>
          <w:sz w:val="24"/>
          <w:szCs w:val="24"/>
          <w:lang w:val="en-US" w:eastAsia="zh-CN"/>
        </w:rPr>
        <w:t>家务劳动、制度设计、性别结构</w:t>
      </w:r>
      <w:r>
        <w:rPr>
          <w:rFonts w:hint="eastAsia" w:ascii="楷体" w:hAnsi="楷体" w:eastAsia="楷体" w:cs="楷体"/>
          <w:sz w:val="24"/>
          <w:szCs w:val="24"/>
        </w:rPr>
        <w:t>、</w:t>
      </w:r>
      <w:r>
        <w:rPr>
          <w:rFonts w:hint="eastAsia" w:ascii="楷体" w:hAnsi="楷体" w:eastAsia="楷体" w:cs="楷体"/>
          <w:sz w:val="24"/>
          <w:szCs w:val="24"/>
          <w:lang w:val="en-US" w:eastAsia="zh-CN"/>
        </w:rPr>
        <w:t>社会</w:t>
      </w:r>
      <w:r>
        <w:rPr>
          <w:rFonts w:hint="eastAsia" w:ascii="楷体" w:hAnsi="楷体" w:eastAsia="楷体" w:cs="楷体"/>
          <w:sz w:val="24"/>
          <w:szCs w:val="24"/>
        </w:rPr>
        <w:t>认知</w:t>
      </w:r>
      <w:r>
        <w:rPr>
          <w:rFonts w:hint="eastAsia" w:ascii="楷体" w:hAnsi="楷体" w:eastAsia="楷体" w:cs="楷体"/>
          <w:sz w:val="24"/>
          <w:szCs w:val="24"/>
          <w:lang w:val="en-US" w:eastAsia="zh-CN"/>
        </w:rPr>
        <w:t>等因素</w:t>
      </w:r>
      <w:r>
        <w:rPr>
          <w:rFonts w:hint="eastAsia" w:ascii="楷体" w:hAnsi="楷体" w:eastAsia="楷体" w:cs="楷体"/>
          <w:sz w:val="24"/>
          <w:szCs w:val="24"/>
        </w:rPr>
        <w:t>影响，女性参与基层社会治理依然面临着诸多挑战。马克思恩格斯经典著作中揭示的未来社会女性解放的图景从婚姻家庭的爱情化和家务劳动的社会化双重维度，</w:t>
      </w:r>
      <w:r>
        <w:rPr>
          <w:rFonts w:hint="eastAsia" w:ascii="楷体" w:hAnsi="楷体" w:eastAsia="楷体" w:cs="楷体"/>
          <w:sz w:val="24"/>
          <w:szCs w:val="24"/>
          <w:lang w:val="en-US" w:eastAsia="zh-CN"/>
        </w:rPr>
        <w:t>展现出女性独特的主体解放与劳动解放出路，</w:t>
      </w:r>
      <w:r>
        <w:rPr>
          <w:rFonts w:hint="eastAsia" w:ascii="楷体" w:hAnsi="楷体" w:eastAsia="楷体" w:cs="楷体"/>
          <w:sz w:val="24"/>
          <w:szCs w:val="24"/>
        </w:rPr>
        <w:t>为基层社会治理提供了</w:t>
      </w:r>
      <w:r>
        <w:rPr>
          <w:rFonts w:hint="eastAsia" w:ascii="楷体" w:hAnsi="楷体" w:eastAsia="楷体" w:cs="楷体"/>
          <w:sz w:val="24"/>
          <w:szCs w:val="24"/>
          <w:lang w:val="en-US" w:eastAsia="zh-CN"/>
        </w:rPr>
        <w:t>现代启示</w:t>
      </w:r>
      <w:r>
        <w:rPr>
          <w:rFonts w:hint="eastAsia" w:ascii="楷体" w:hAnsi="楷体" w:eastAsia="楷体" w:cs="楷体"/>
          <w:sz w:val="24"/>
          <w:szCs w:val="24"/>
        </w:rPr>
        <w:t>，即鼓励两性建立以爱情为基础的婚姻家庭</w:t>
      </w:r>
      <w:r>
        <w:rPr>
          <w:rFonts w:hint="eastAsia" w:ascii="楷体" w:hAnsi="楷体" w:eastAsia="楷体" w:cs="楷体"/>
          <w:sz w:val="24"/>
          <w:szCs w:val="24"/>
          <w:lang w:eastAsia="zh-CN"/>
        </w:rPr>
        <w:t>；提倡家务劳动社会化，增强女性的身份认同感；优化基层社会治理性别结构，补齐女性缺位短板；尊重和保障女性参与基层社会治理权益</w:t>
      </w:r>
      <w:r>
        <w:rPr>
          <w:rFonts w:hint="eastAsia" w:ascii="楷体" w:hAnsi="楷体" w:eastAsia="楷体" w:cs="楷体"/>
          <w:sz w:val="24"/>
          <w:szCs w:val="24"/>
          <w:lang w:val="en-US" w:eastAsia="zh-CN"/>
        </w:rPr>
        <w:t>等</w:t>
      </w:r>
      <w:r>
        <w:rPr>
          <w:rFonts w:hint="eastAsia" w:ascii="楷体" w:hAnsi="楷体" w:eastAsia="楷体" w:cs="楷体"/>
          <w:sz w:val="24"/>
          <w:szCs w:val="24"/>
        </w:rPr>
        <w:t>。</w:t>
      </w:r>
    </w:p>
    <w:p>
      <w:pPr>
        <w:pageBreakBefore w:val="0"/>
        <w:kinsoku/>
        <w:wordWrap/>
        <w:overflowPunct/>
        <w:topLinePunct w:val="0"/>
        <w:bidi w:val="0"/>
        <w:snapToGrid/>
        <w:spacing w:beforeAutospacing="0" w:afterAutospacing="0" w:line="360" w:lineRule="auto"/>
        <w:ind w:firstLine="482" w:firstLineChars="200"/>
        <w:jc w:val="left"/>
        <w:textAlignment w:val="auto"/>
        <w:rPr>
          <w:rFonts w:ascii="楷体" w:hAnsi="楷体" w:eastAsia="楷体" w:cs="楷体"/>
          <w:sz w:val="24"/>
          <w:szCs w:val="24"/>
        </w:rPr>
      </w:pPr>
      <w:r>
        <w:rPr>
          <w:rFonts w:hint="eastAsia" w:ascii="宋体" w:hAnsi="宋体" w:eastAsia="宋体" w:cs="宋体"/>
          <w:b/>
          <w:bCs/>
          <w:sz w:val="24"/>
          <w:szCs w:val="24"/>
        </w:rPr>
        <w:t xml:space="preserve">关键词: </w:t>
      </w:r>
      <w:r>
        <w:rPr>
          <w:rFonts w:hint="eastAsia" w:ascii="楷体" w:hAnsi="楷体" w:eastAsia="楷体" w:cs="楷体"/>
          <w:sz w:val="24"/>
          <w:szCs w:val="24"/>
        </w:rPr>
        <w:t xml:space="preserve"> 马克思恩格斯;女性</w:t>
      </w:r>
      <w:r>
        <w:rPr>
          <w:rFonts w:hint="eastAsia" w:ascii="楷体" w:hAnsi="楷体" w:eastAsia="楷体" w:cs="楷体"/>
          <w:sz w:val="24"/>
          <w:szCs w:val="24"/>
          <w:lang w:val="en-US" w:eastAsia="zh-CN"/>
        </w:rPr>
        <w:t>解放</w:t>
      </w:r>
      <w:r>
        <w:rPr>
          <w:rFonts w:hint="eastAsia" w:ascii="楷体" w:hAnsi="楷体" w:eastAsia="楷体" w:cs="楷体"/>
          <w:sz w:val="24"/>
          <w:szCs w:val="24"/>
        </w:rPr>
        <w:t xml:space="preserve">;基层社会治理 </w:t>
      </w:r>
    </w:p>
    <w:p>
      <w:pPr>
        <w:pageBreakBefore w:val="0"/>
        <w:kinsoku/>
        <w:wordWrap/>
        <w:overflowPunct/>
        <w:topLinePunct w:val="0"/>
        <w:bidi w:val="0"/>
        <w:snapToGrid/>
        <w:spacing w:beforeAutospacing="0" w:afterAutospacing="0" w:line="360" w:lineRule="auto"/>
        <w:ind w:firstLine="482" w:firstLineChars="200"/>
        <w:textAlignment w:val="auto"/>
        <w:rPr>
          <w:rFonts w:ascii="黑体" w:hAnsi="黑体" w:eastAsia="黑体" w:cs="黑体"/>
          <w:sz w:val="24"/>
          <w:szCs w:val="24"/>
        </w:rPr>
      </w:pPr>
      <w:r>
        <w:rPr>
          <w:rFonts w:hint="eastAsia" w:ascii="宋体" w:hAnsi="宋体" w:eastAsia="宋体" w:cs="宋体"/>
          <w:b/>
          <w:bCs/>
          <w:sz w:val="24"/>
          <w:szCs w:val="24"/>
        </w:rPr>
        <w:t>中图分类号</w:t>
      </w:r>
      <w:r>
        <w:rPr>
          <w:rFonts w:hint="eastAsia" w:ascii="宋体" w:hAnsi="宋体" w:eastAsia="宋体" w:cs="宋体"/>
          <w:b/>
          <w:bCs/>
          <w:color w:val="auto"/>
          <w:sz w:val="24"/>
          <w:szCs w:val="24"/>
        </w:rPr>
        <w:t>：</w:t>
      </w:r>
      <w:r>
        <w:rPr>
          <w:rFonts w:ascii="宋体" w:hAnsi="宋体" w:eastAsia="宋体" w:cs="宋体"/>
          <w:bCs/>
          <w:color w:val="auto"/>
          <w:sz w:val="24"/>
          <w:szCs w:val="24"/>
        </w:rPr>
        <w:t xml:space="preserve">F204 </w:t>
      </w:r>
    </w:p>
    <w:p>
      <w:pPr>
        <w:pageBreakBefore w:val="0"/>
        <w:kinsoku/>
        <w:wordWrap/>
        <w:overflowPunct/>
        <w:topLinePunct w:val="0"/>
        <w:bidi w:val="0"/>
        <w:snapToGrid/>
        <w:spacing w:beforeAutospacing="0" w:afterAutospacing="0" w:line="360" w:lineRule="auto"/>
        <w:jc w:val="both"/>
        <w:textAlignment w:val="auto"/>
        <w:rPr>
          <w:rFonts w:hint="eastAsia" w:ascii="Tahoma" w:hAnsi="Tahoma" w:eastAsia="黑体"/>
          <w:sz w:val="24"/>
          <w:szCs w:val="24"/>
          <w:lang w:eastAsia="zh-CN"/>
        </w:rPr>
      </w:pPr>
      <w:r>
        <w:rPr>
          <w:rFonts w:hint="eastAsia" w:ascii="黑体" w:hAnsi="黑体" w:eastAsia="黑体" w:cs="黑体"/>
          <w:sz w:val="24"/>
          <w:szCs w:val="24"/>
        </w:rPr>
        <w:t>一、问题的提出</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一级标题四号黑体</w:t>
      </w:r>
      <w:r>
        <w:rPr>
          <w:rFonts w:hint="eastAsia" w:ascii="黑体" w:hAnsi="黑体" w:eastAsia="黑体" w:cs="黑体"/>
          <w:sz w:val="24"/>
          <w:szCs w:val="24"/>
          <w:lang w:eastAsia="zh-CN"/>
        </w:rPr>
        <w:t>）</w:t>
      </w:r>
    </w:p>
    <w:p>
      <w:pPr>
        <w:pStyle w:val="3"/>
        <w:pageBreakBefore w:val="0"/>
        <w:numPr>
          <w:ilvl w:val="0"/>
          <w:numId w:val="0"/>
        </w:numPr>
        <w:kinsoku/>
        <w:wordWrap/>
        <w:overflowPunct/>
        <w:topLinePunct w:val="0"/>
        <w:bidi w:val="0"/>
        <w:snapToGrid/>
        <w:spacing w:beforeAutospacing="0" w:afterAutospacing="0" w:line="360" w:lineRule="auto"/>
        <w:ind w:left="396"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一</w:t>
      </w:r>
      <w:r>
        <w:rPr>
          <w:rFonts w:hint="eastAsia" w:ascii="黑体" w:hAnsi="黑体" w:eastAsia="黑体" w:cs="黑体"/>
          <w:sz w:val="24"/>
          <w:szCs w:val="24"/>
          <w:lang w:eastAsia="zh-CN"/>
        </w:rPr>
        <w:t>）</w:t>
      </w:r>
      <w:r>
        <w:rPr>
          <w:rFonts w:hint="eastAsia" w:ascii="黑体" w:hAnsi="黑体" w:eastAsia="黑体" w:cs="黑体"/>
          <w:sz w:val="24"/>
          <w:szCs w:val="24"/>
        </w:rPr>
        <w:t>婚姻家庭</w:t>
      </w:r>
      <w:r>
        <w:rPr>
          <w:rFonts w:hint="eastAsia" w:ascii="黑体" w:hAnsi="黑体" w:eastAsia="黑体" w:cs="黑体"/>
          <w:sz w:val="24"/>
          <w:szCs w:val="24"/>
          <w:lang w:val="en-US" w:eastAsia="zh-CN"/>
        </w:rPr>
        <w:t>的组建仍受经济条件制约（二级标题小四号黑体）</w:t>
      </w:r>
    </w:p>
    <w:p>
      <w:pPr>
        <w:pStyle w:val="3"/>
        <w:pageBreakBefore w:val="0"/>
        <w:numPr>
          <w:ilvl w:val="0"/>
          <w:numId w:val="0"/>
        </w:numPr>
        <w:kinsoku/>
        <w:wordWrap/>
        <w:overflowPunct/>
        <w:topLinePunct w:val="0"/>
        <w:bidi w:val="0"/>
        <w:snapToGrid/>
        <w:spacing w:beforeAutospacing="0" w:afterAutospacing="0" w:line="360" w:lineRule="auto"/>
        <w:ind w:left="396" w:leftChars="0"/>
        <w:textAlignment w:val="auto"/>
        <w:rPr>
          <w:rFonts w:hint="default" w:ascii="宋体" w:hAnsi="宋体" w:eastAsia="宋体" w:cs="宋体"/>
          <w:sz w:val="24"/>
          <w:szCs w:val="24"/>
          <w:lang w:val="en-US"/>
        </w:rPr>
      </w:pPr>
      <w:r>
        <w:rPr>
          <w:rFonts w:hint="eastAsia" w:ascii="黑体" w:hAnsi="黑体" w:eastAsia="黑体" w:cs="黑体"/>
          <w:sz w:val="24"/>
          <w:szCs w:val="24"/>
          <w:lang w:val="en-US" w:eastAsia="zh-CN"/>
        </w:rPr>
        <w:t>1.基层社会治理体系中的性别结构不合理（三级标题小四号黑体）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在中国，女性自身本具的干事创业精神在当今时代</w:t>
      </w:r>
      <w:bookmarkEnd w:id="0"/>
      <w:r>
        <w:rPr>
          <w:rFonts w:hint="eastAsia" w:ascii="宋体" w:hAnsi="宋体" w:cs="宋体"/>
          <w:sz w:val="24"/>
          <w:szCs w:val="24"/>
          <w:lang w:eastAsia="zh-CN"/>
        </w:rPr>
        <w:t>（</w:t>
      </w:r>
      <w:r>
        <w:rPr>
          <w:rFonts w:hint="eastAsia" w:ascii="宋体" w:hAnsi="宋体" w:cs="宋体"/>
          <w:sz w:val="24"/>
          <w:szCs w:val="24"/>
          <w:lang w:val="en-US" w:eastAsia="zh-CN"/>
        </w:rPr>
        <w:t>正文小四号宋体</w:t>
      </w:r>
      <w:r>
        <w:rPr>
          <w:rFonts w:hint="eastAsia" w:ascii="宋体" w:hAnsi="宋体" w:cs="宋体"/>
          <w:sz w:val="24"/>
          <w:szCs w:val="24"/>
          <w:lang w:eastAsia="zh-CN"/>
        </w:rPr>
        <w:t>）</w:t>
      </w:r>
    </w:p>
    <w:p>
      <w:pPr>
        <w:pageBreakBefore w:val="0"/>
        <w:kinsoku/>
        <w:wordWrap/>
        <w:overflowPunct/>
        <w:topLinePunct w:val="0"/>
        <w:bidi w:val="0"/>
        <w:snapToGrid/>
        <w:spacing w:beforeAutospacing="0" w:afterAutospacing="0" w:line="360" w:lineRule="auto"/>
        <w:jc w:val="left"/>
        <w:textAlignment w:val="auto"/>
        <w:rPr>
          <w:rFonts w:ascii="黑体" w:hAnsi="黑体" w:eastAsia="黑体" w:cs="黑体"/>
          <w:color w:val="auto"/>
          <w:sz w:val="24"/>
          <w:szCs w:val="24"/>
        </w:rPr>
      </w:pPr>
      <w:r>
        <w:rPr>
          <w:rFonts w:hint="eastAsia" w:ascii="黑体" w:hAnsi="黑体" w:eastAsia="黑体" w:cs="黑体"/>
          <w:color w:val="auto"/>
          <w:sz w:val="24"/>
          <w:szCs w:val="24"/>
        </w:rPr>
        <w:t>参考文献：</w:t>
      </w:r>
    </w:p>
    <w:p>
      <w:pPr>
        <w:pageBreakBefore w:val="0"/>
        <w:kinsoku/>
        <w:wordWrap/>
        <w:overflowPunct/>
        <w:topLinePunct w:val="0"/>
        <w:bidi w:val="0"/>
        <w:snapToGrid/>
        <w:spacing w:beforeAutospacing="0" w:afterAutospacing="0"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]马长山.智能互联网时代的法律变革[J].法学研究,2018(4)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70-79.</w:t>
      </w:r>
      <w:r>
        <w:rPr>
          <w:rFonts w:hint="eastAsia" w:ascii="仿宋" w:hAnsi="仿宋" w:eastAsia="仿宋" w:cs="仿宋"/>
          <w:color w:val="auto"/>
          <w:sz w:val="24"/>
          <w:szCs w:val="24"/>
        </w:rPr>
        <w:t xml:space="preserve"> </w:t>
      </w:r>
    </w:p>
    <w:p>
      <w:pPr>
        <w:pageBreakBefore w:val="0"/>
        <w:kinsoku/>
        <w:wordWrap/>
        <w:overflowPunct/>
        <w:topLinePunct w:val="0"/>
        <w:bidi w:val="0"/>
        <w:snapToGrid/>
        <w:spacing w:beforeAutospacing="0" w:afterAutospacing="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]胡伟.网络民主：机遇与挑战[N].文汇报,2009-8-22.</w:t>
      </w:r>
    </w:p>
    <w:p>
      <w:pPr>
        <w:pageBreakBefore w:val="0"/>
        <w:kinsoku/>
        <w:wordWrap/>
        <w:overflowPunct/>
        <w:topLinePunct w:val="0"/>
        <w:bidi w:val="0"/>
        <w:snapToGrid/>
        <w:spacing w:beforeAutospacing="0" w:afterAutospacing="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]陈万柏,张耀灿.思想政治教育学原理（第三卷）[M].北京:高等教育出版社，2015：103. </w:t>
      </w:r>
    </w:p>
    <w:p>
      <w:pPr>
        <w:pageBreakBefore w:val="0"/>
        <w:kinsoku/>
        <w:wordWrap/>
        <w:overflowPunct/>
        <w:topLinePunct w:val="0"/>
        <w:bidi w:val="0"/>
        <w:snapToGrid/>
        <w:spacing w:beforeAutospacing="0" w:afterAutospacing="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]Prime, G. M. Values in technology: Approaches to learning[J]. Design &amp; Technology Teaching, 2009, 27(1): 45-52.</w:t>
      </w:r>
    </w:p>
    <w:p>
      <w:pPr>
        <w:pageBreakBefore w:val="0"/>
        <w:kinsoku/>
        <w:wordWrap/>
        <w:overflowPunct/>
        <w:topLinePunct w:val="0"/>
        <w:bidi w:val="0"/>
        <w:snapToGrid/>
        <w:spacing w:beforeAutospacing="0" w:afterAutospacing="0" w:line="360" w:lineRule="auto"/>
        <w:jc w:val="center"/>
        <w:textAlignment w:val="auto"/>
        <w:rPr>
          <w:b/>
          <w:bCs/>
          <w:color w:val="auto"/>
          <w:sz w:val="24"/>
          <w:szCs w:val="24"/>
        </w:rPr>
      </w:pPr>
      <w:r>
        <w:rPr>
          <w:b/>
          <w:bCs/>
          <w:color w:val="auto"/>
          <w:sz w:val="24"/>
          <w:szCs w:val="24"/>
        </w:rPr>
        <w:t xml:space="preserve">Impact of Environmental Regulation on Green Technology Innovation Efficiency of Pharmaceutical Manufacturing Industry in Yangtze River Economic Belt                  </w:t>
      </w:r>
    </w:p>
    <w:p>
      <w:pPr>
        <w:pageBreakBefore w:val="0"/>
        <w:kinsoku/>
        <w:wordWrap/>
        <w:overflowPunct/>
        <w:topLinePunct w:val="0"/>
        <w:bidi w:val="0"/>
        <w:snapToGrid/>
        <w:spacing w:beforeAutospacing="0" w:afterAutospacing="0" w:line="360" w:lineRule="auto"/>
        <w:jc w:val="right"/>
        <w:textAlignment w:val="auto"/>
        <w:rPr>
          <w:b/>
          <w:bCs/>
          <w:color w:val="auto"/>
          <w:sz w:val="24"/>
          <w:szCs w:val="24"/>
        </w:rPr>
      </w:pPr>
      <w:r>
        <w:rPr>
          <w:b/>
          <w:bCs/>
          <w:color w:val="auto"/>
          <w:sz w:val="24"/>
          <w:szCs w:val="24"/>
        </w:rPr>
        <w:t>——Analysis based on panel threshold regression model</w:t>
      </w:r>
    </w:p>
    <w:p>
      <w:pPr>
        <w:pageBreakBefore w:val="0"/>
        <w:kinsoku/>
        <w:wordWrap/>
        <w:overflowPunct/>
        <w:topLinePunct w:val="0"/>
        <w:bidi w:val="0"/>
        <w:snapToGrid/>
        <w:spacing w:beforeAutospacing="0" w:afterAutospacing="0" w:line="360" w:lineRule="auto"/>
        <w:jc w:val="center"/>
        <w:textAlignment w:val="auto"/>
        <w:rPr>
          <w:color w:val="auto"/>
          <w:sz w:val="24"/>
          <w:szCs w:val="24"/>
        </w:rPr>
      </w:pPr>
      <w:r>
        <w:rPr>
          <w:color w:val="auto"/>
          <w:sz w:val="24"/>
          <w:szCs w:val="24"/>
        </w:rPr>
        <w:t xml:space="preserve"> </w:t>
      </w:r>
      <w:r>
        <w:rPr>
          <w:rFonts w:hint="eastAsia"/>
          <w:color w:val="auto"/>
          <w:sz w:val="24"/>
          <w:szCs w:val="24"/>
          <w:lang w:val="en-US" w:eastAsia="zh-CN"/>
        </w:rPr>
        <w:t>Z</w:t>
      </w:r>
      <w:r>
        <w:rPr>
          <w:color w:val="auto"/>
          <w:sz w:val="24"/>
          <w:szCs w:val="24"/>
        </w:rPr>
        <w:t>an-Jie Fan</w:t>
      </w:r>
    </w:p>
    <w:p>
      <w:pPr>
        <w:pageBreakBefore w:val="0"/>
        <w:kinsoku/>
        <w:wordWrap/>
        <w:overflowPunct/>
        <w:topLinePunct w:val="0"/>
        <w:bidi w:val="0"/>
        <w:snapToGrid/>
        <w:spacing w:beforeAutospacing="0" w:afterAutospacing="0" w:line="360" w:lineRule="auto"/>
        <w:jc w:val="center"/>
        <w:textAlignment w:val="auto"/>
        <w:rPr>
          <w:color w:val="auto"/>
          <w:sz w:val="24"/>
          <w:szCs w:val="24"/>
        </w:rPr>
      </w:pPr>
      <w:r>
        <w:rPr>
          <w:color w:val="auto"/>
          <w:sz w:val="24"/>
          <w:szCs w:val="24"/>
        </w:rPr>
        <w:t>（School of Management</w:t>
      </w:r>
      <w:r>
        <w:rPr>
          <w:rFonts w:hint="eastAsia"/>
          <w:color w:val="auto"/>
          <w:sz w:val="24"/>
          <w:szCs w:val="24"/>
        </w:rPr>
        <w:t>,</w:t>
      </w:r>
      <w:r>
        <w:rPr>
          <w:color w:val="auto"/>
          <w:sz w:val="24"/>
          <w:szCs w:val="24"/>
        </w:rPr>
        <w:t>Wuhan Institute of Technology</w:t>
      </w:r>
      <w:r>
        <w:rPr>
          <w:rFonts w:hint="eastAsia"/>
          <w:color w:val="auto"/>
          <w:sz w:val="24"/>
          <w:szCs w:val="24"/>
        </w:rPr>
        <w:t>,</w:t>
      </w:r>
      <w:r>
        <w:rPr>
          <w:color w:val="auto"/>
          <w:sz w:val="24"/>
          <w:szCs w:val="24"/>
        </w:rPr>
        <w:t>Wuhan</w:t>
      </w:r>
      <w:r>
        <w:rPr>
          <w:rFonts w:hint="eastAsia"/>
          <w:color w:val="auto"/>
          <w:sz w:val="24"/>
          <w:szCs w:val="24"/>
        </w:rPr>
        <w:t>,</w:t>
      </w:r>
      <w:r>
        <w:rPr>
          <w:color w:val="auto"/>
          <w:sz w:val="24"/>
          <w:szCs w:val="24"/>
        </w:rPr>
        <w:t>430205,China）</w:t>
      </w:r>
    </w:p>
    <w:p>
      <w:pPr>
        <w:pageBreakBefore w:val="0"/>
        <w:kinsoku/>
        <w:wordWrap/>
        <w:overflowPunct/>
        <w:topLinePunct w:val="0"/>
        <w:bidi w:val="0"/>
        <w:snapToGrid/>
        <w:spacing w:beforeAutospacing="0" w:afterAutospacing="0" w:line="360" w:lineRule="auto"/>
        <w:textAlignment w:val="auto"/>
        <w:rPr>
          <w:b/>
          <w:bCs/>
          <w:color w:val="auto"/>
          <w:sz w:val="24"/>
          <w:szCs w:val="24"/>
        </w:rPr>
      </w:pPr>
    </w:p>
    <w:p>
      <w:pPr>
        <w:pageBreakBefore w:val="0"/>
        <w:kinsoku/>
        <w:wordWrap/>
        <w:overflowPunct/>
        <w:topLinePunct w:val="0"/>
        <w:bidi w:val="0"/>
        <w:snapToGrid/>
        <w:spacing w:beforeAutospacing="0" w:afterAutospacing="0" w:line="360" w:lineRule="auto"/>
        <w:textAlignment w:val="auto"/>
        <w:rPr>
          <w:rFonts w:hint="eastAsia"/>
          <w:color w:val="auto"/>
          <w:sz w:val="24"/>
          <w:szCs w:val="24"/>
        </w:rPr>
      </w:pPr>
      <w:r>
        <w:rPr>
          <w:b/>
          <w:bCs/>
          <w:color w:val="auto"/>
          <w:sz w:val="24"/>
          <w:szCs w:val="24"/>
        </w:rPr>
        <w:t>Abstract:</w:t>
      </w:r>
      <w:r>
        <w:rPr>
          <w:color w:val="auto"/>
          <w:sz w:val="24"/>
          <w:szCs w:val="24"/>
        </w:rPr>
        <w:t xml:space="preserve"> </w:t>
      </w:r>
      <w:r>
        <w:rPr>
          <w:rFonts w:hint="eastAsia"/>
          <w:color w:val="auto"/>
          <w:sz w:val="24"/>
          <w:szCs w:val="24"/>
        </w:rPr>
        <w:t xml:space="preserve">To design accurate environmental regulation policies in the Yangtze River economic belt, we need to study the relationship between environmental regulation and green technology innovation of pharmaceutical manufacturing industry in the Yangtze River economic belt from the industrial level. This paper constructs the super efficiency EBM model to measure and analyze the green technology innovation efficiency of pharmaceutical manufacturing industry in the Yangtze River economic belt, and constructs the panel threshold regression model with </w:t>
      </w:r>
      <w:r>
        <w:rPr>
          <w:rFonts w:hint="eastAsia"/>
          <w:color w:val="auto"/>
          <w:sz w:val="24"/>
          <w:szCs w:val="24"/>
          <w:lang w:val="en-US" w:eastAsia="zh-CN"/>
        </w:rPr>
        <w:t>.</w:t>
      </w:r>
      <w:r>
        <w:rPr>
          <w:rFonts w:hint="eastAsia"/>
          <w:color w:val="auto"/>
          <w:sz w:val="24"/>
          <w:szCs w:val="24"/>
        </w:rPr>
        <w:t>With the increase of the intensity of environmental regulation, its positive effect on the efficiency of green technology innovation is more obvious, but when the environmental regulation reaches the threshold value, its positive effect on the efficiency of green technology innovation is weakened and not significant; Industry scale, foreign investment and technological innovation level have significant positive effects on the efficiency of green technology innovation.</w:t>
      </w:r>
    </w:p>
    <w:p>
      <w:pPr>
        <w:pageBreakBefore w:val="0"/>
        <w:kinsoku/>
        <w:wordWrap/>
        <w:overflowPunct/>
        <w:topLinePunct w:val="0"/>
        <w:bidi w:val="0"/>
        <w:snapToGrid/>
        <w:spacing w:beforeAutospacing="0" w:afterAutospacing="0" w:line="360" w:lineRule="auto"/>
        <w:jc w:val="left"/>
        <w:textAlignment w:val="auto"/>
        <w:rPr>
          <w:color w:val="auto"/>
          <w:sz w:val="24"/>
          <w:szCs w:val="24"/>
        </w:rPr>
      </w:pPr>
      <w:r>
        <w:rPr>
          <w:b/>
          <w:bCs/>
          <w:color w:val="auto"/>
          <w:sz w:val="24"/>
          <w:szCs w:val="24"/>
        </w:rPr>
        <w:t>Key Words:</w:t>
      </w:r>
      <w:r>
        <w:rPr>
          <w:color w:val="auto"/>
          <w:sz w:val="24"/>
          <w:szCs w:val="24"/>
        </w:rPr>
        <w:t xml:space="preserve"> Yangtze River Economic Belt; pharmaceutical manufacturing; green technology innovation efficiency; environmental regulation.</w:t>
      </w:r>
    </w:p>
    <w:p>
      <w:pPr>
        <w:pageBreakBefore w:val="0"/>
        <w:kinsoku/>
        <w:wordWrap/>
        <w:overflowPunct/>
        <w:topLinePunct w:val="0"/>
        <w:bidi w:val="0"/>
        <w:snapToGrid/>
        <w:spacing w:beforeAutospacing="0" w:afterAutospacing="0" w:line="360" w:lineRule="auto"/>
        <w:jc w:val="left"/>
        <w:textAlignment w:val="auto"/>
        <w:rPr>
          <w:rFonts w:hint="eastAsia"/>
          <w:color w:val="auto"/>
          <w:sz w:val="24"/>
          <w:szCs w:val="24"/>
        </w:rPr>
      </w:pPr>
    </w:p>
    <w:p>
      <w:pPr>
        <w:pageBreakBefore w:val="0"/>
        <w:kinsoku/>
        <w:wordWrap/>
        <w:overflowPunct/>
        <w:topLinePunct w:val="0"/>
        <w:bidi w:val="0"/>
        <w:snapToGrid/>
        <w:spacing w:beforeAutospacing="0" w:afterAutospacing="0" w:line="360" w:lineRule="auto"/>
        <w:jc w:val="left"/>
        <w:textAlignment w:val="auto"/>
        <w:rPr>
          <w:rFonts w:hint="eastAsia"/>
          <w:color w:val="auto"/>
          <w:sz w:val="24"/>
          <w:szCs w:val="24"/>
        </w:rPr>
      </w:pPr>
    </w:p>
    <w:p>
      <w:pPr>
        <w:pageBreakBefore w:val="0"/>
        <w:widowControl/>
        <w:shd w:val="clear" w:color="auto" w:fill="FFFFFF"/>
        <w:kinsoku/>
        <w:wordWrap/>
        <w:overflowPunct/>
        <w:topLinePunct w:val="0"/>
        <w:bidi w:val="0"/>
        <w:snapToGrid/>
        <w:spacing w:beforeAutospacing="0" w:afterAutospacing="0" w:line="360" w:lineRule="auto"/>
        <w:jc w:val="both"/>
        <w:textAlignment w:val="auto"/>
        <w:outlineLvl w:val="0"/>
        <w:rPr>
          <w:rFonts w:hint="eastAsia" w:ascii="华文中宋" w:hAnsi="华文中宋" w:eastAsia="华文中宋" w:cs="华文中宋"/>
          <w:b w:val="0"/>
          <w:bCs w:val="0"/>
          <w:kern w:val="36"/>
          <w:sz w:val="28"/>
          <w:szCs w:val="18"/>
          <w:lang w:val="en-US" w:eastAsia="zh-CN" w:bidi="ar-SA"/>
        </w:rPr>
      </w:pPr>
      <w:r>
        <w:rPr>
          <w:rFonts w:hint="eastAsia" w:ascii="华文中宋" w:hAnsi="华文中宋" w:eastAsia="华文中宋" w:cs="华文中宋"/>
          <w:b w:val="0"/>
          <w:bCs w:val="0"/>
          <w:kern w:val="36"/>
          <w:sz w:val="28"/>
          <w:szCs w:val="18"/>
          <w:lang w:val="en-US" w:eastAsia="zh-CN" w:bidi="ar-SA"/>
        </w:rPr>
        <w:t>（二）《湖北师范大学学报（自然科学版）》</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湖北师范大学学报（自然科学版）》校庆专刊欢迎全校师生和广大校友投稿。主要刊登数学、物理、化学、生物、计算机与信息、自动化与人工智能、体育等相关学科的科学研究、实验研究和教学研究成果。来稿请做到：</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稿件论点明确，文字精练，论据可靠，数据准确，主题明确，重点突出，逻辑严密，语言流畅，切忌面面俱到。每篇论文包括：（按顺序）中文题目、作者姓名、单位、邮政编码、作者简介（出生年月、性别、籍贯、职称、学历及主要研究方向）、中文摘要（200字~300字）、关键词、中图分类号、正文、参考文献、英文题目、作者姓名的拼音、作者单位的英文名称、英文摘要和英文关键词。中英文关键词应一一对应，一般3个~5个。</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2.文稿计量单位要采用国家法定计量单位。稿中外文字母、符号必须分清大小写和正斜体，上下脚标的字母、数字、符号位置高低区别明显，容易混淆的请标注。</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3.文中图、表只附最必要的，插图线条要匀，图中文字、符号要标注清楚并与正文一致。照片要用黑白照，要求图象清晰，层次分明。表格采用三线表。</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4.文中图、表、数学式、参考文献、各级标题都应用阿拉伯数字按顺序统一编码。图表应有标题。数学式编码放在式子的后面。各级标题分级编码，如：一级标题用1，2，3……；二级标题用1.1，1.2，……，2.1，2.2，……；三级标题用1.1.1，1.1.2，……1.2.1，1.2.2，……。</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5.参考文献一律放在正文后，文中用阿拉伯数字标明，并应与文后的编码顺序一致，只选主要的列入（一般不超过10篇），也不应低于5篇，且以近5年的期刊文献为主。未公开发表的资料请勿引用。</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6.来稿如获基金资助，请注明项目名称及编号。</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7.请勿一稿多投，如三个月内未接到录用通知的，作者可自行处理。</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8.作者若不允许本刊对文稿作文字性及少量内容删改，或不同意被其他报刊、数据库等转载、摘编，请在来稿时声明。</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9.请通过征稿专用邮箱投稿，自然科学版投稿邮箱：</w:t>
      </w:r>
      <w:r>
        <w:rPr>
          <w:color w:val="C00000"/>
          <w:sz w:val="24"/>
          <w:szCs w:val="28"/>
        </w:rPr>
        <w:t>cwj113ok@tom.com</w:t>
      </w:r>
    </w:p>
    <w:p>
      <w:pPr>
        <w:pageBreakBefore w:val="0"/>
        <w:widowControl/>
        <w:shd w:val="clear" w:color="auto" w:fill="FFFFFF"/>
        <w:kinsoku/>
        <w:wordWrap/>
        <w:overflowPunct/>
        <w:topLinePunct w:val="0"/>
        <w:bidi w:val="0"/>
        <w:snapToGrid/>
        <w:spacing w:beforeAutospacing="0" w:afterAutospacing="0" w:line="360" w:lineRule="auto"/>
        <w:ind w:firstLine="420" w:firstLineChars="200"/>
        <w:jc w:val="left"/>
        <w:textAlignment w:val="auto"/>
        <w:rPr>
          <w:rFonts w:hint="eastAsia" w:ascii="微软雅黑" w:hAnsi="微软雅黑" w:eastAsia="微软雅黑"/>
          <w:color w:val="333333"/>
          <w:szCs w:val="21"/>
          <w:shd w:val="clear" w:color="auto" w:fill="FFFFFF"/>
        </w:rPr>
      </w:pPr>
    </w:p>
    <w:p>
      <w:pPr>
        <w:pageBreakBefore w:val="0"/>
        <w:kinsoku/>
        <w:wordWrap/>
        <w:overflowPunct/>
        <w:topLinePunct w:val="0"/>
        <w:bidi w:val="0"/>
        <w:snapToGrid/>
        <w:spacing w:beforeAutospacing="0" w:afterAutospacing="0" w:line="360" w:lineRule="auto"/>
        <w:textAlignment w:val="auto"/>
        <w:rPr>
          <w:rFonts w:hint="eastAsia" w:ascii="华文中宋" w:hAnsi="华文中宋" w:eastAsia="华文中宋" w:cs="华文中宋"/>
          <w:b/>
          <w:bCs/>
          <w:sz w:val="24"/>
          <w:szCs w:val="24"/>
        </w:rPr>
      </w:pPr>
    </w:p>
    <w:p>
      <w:pPr>
        <w:pageBreakBefore w:val="0"/>
        <w:kinsoku/>
        <w:wordWrap/>
        <w:overflowPunct/>
        <w:topLinePunct w:val="0"/>
        <w:bidi w:val="0"/>
        <w:snapToGrid/>
        <w:spacing w:beforeAutospacing="0" w:afterAutospacing="0" w:line="360" w:lineRule="auto"/>
        <w:textAlignment w:val="auto"/>
        <w:rPr>
          <w:rFonts w:hint="eastAsia" w:ascii="华文中宋" w:hAnsi="华文中宋" w:eastAsia="华文中宋" w:cs="华文中宋"/>
          <w:b w:val="0"/>
          <w:bCs w:val="0"/>
          <w:sz w:val="24"/>
        </w:rPr>
      </w:pPr>
      <w:r>
        <w:rPr>
          <w:rFonts w:hint="eastAsia" w:ascii="华文中宋" w:hAnsi="华文中宋" w:eastAsia="华文中宋" w:cs="华文中宋"/>
          <w:b w:val="0"/>
          <w:bCs w:val="0"/>
          <w:sz w:val="24"/>
          <w:szCs w:val="24"/>
        </w:rPr>
        <w:t>附参考示例：</w:t>
      </w:r>
    </w:p>
    <w:p>
      <w:pPr>
        <w:pageBreakBefore w:val="0"/>
        <w:kinsoku/>
        <w:wordWrap/>
        <w:overflowPunct/>
        <w:topLinePunct w:val="0"/>
        <w:bidi w:val="0"/>
        <w:snapToGrid/>
        <w:spacing w:beforeAutospacing="0" w:afterAutospacing="0" w:line="360" w:lineRule="auto"/>
        <w:jc w:val="center"/>
        <w:textAlignment w:val="auto"/>
        <w:rPr>
          <w:rFonts w:ascii="宋体" w:hAnsi="宋体" w:eastAsia="宋体"/>
          <w:b/>
          <w:bCs/>
          <w:sz w:val="32"/>
          <w:szCs w:val="32"/>
        </w:rPr>
      </w:pPr>
      <w:r>
        <w:rPr>
          <w:rFonts w:hint="eastAsia" w:ascii="宋体" w:hAnsi="宋体" w:eastAsia="宋体"/>
          <w:b/>
          <w:bCs/>
          <w:sz w:val="32"/>
          <w:szCs w:val="32"/>
        </w:rPr>
        <w:t>一类时滞S</w:t>
      </w:r>
      <w:r>
        <w:rPr>
          <w:rFonts w:ascii="宋体" w:hAnsi="宋体" w:eastAsia="宋体"/>
          <w:b/>
          <w:bCs/>
          <w:sz w:val="32"/>
          <w:szCs w:val="32"/>
        </w:rPr>
        <w:t>EIDR</w:t>
      </w:r>
      <w:r>
        <w:rPr>
          <w:rFonts w:hint="eastAsia" w:ascii="宋体" w:hAnsi="宋体" w:eastAsia="宋体"/>
          <w:b/>
          <w:bCs/>
          <w:sz w:val="32"/>
          <w:szCs w:val="32"/>
        </w:rPr>
        <w:t>埃博拉病毒传播模型</w:t>
      </w:r>
    </w:p>
    <w:p>
      <w:pPr>
        <w:pageBreakBefore w:val="0"/>
        <w:kinsoku/>
        <w:wordWrap/>
        <w:overflowPunct/>
        <w:topLinePunct w:val="0"/>
        <w:bidi w:val="0"/>
        <w:snapToGrid/>
        <w:spacing w:beforeAutospacing="0" w:afterAutospacing="0" w:line="360" w:lineRule="auto"/>
        <w:jc w:val="center"/>
        <w:textAlignment w:val="auto"/>
        <w:rPr>
          <w:rFonts w:ascii="宋体" w:hAnsi="宋体" w:eastAsia="宋体"/>
          <w:sz w:val="21"/>
          <w:szCs w:val="22"/>
        </w:rPr>
      </w:pPr>
      <w:r>
        <w:rPr>
          <w:rFonts w:hint="eastAsia" w:ascii="宋体" w:hAnsi="宋体" w:eastAsia="宋体"/>
          <w:sz w:val="21"/>
          <w:szCs w:val="22"/>
        </w:rPr>
        <w:t>XXX，XXX</w:t>
      </w:r>
    </w:p>
    <w:p>
      <w:pPr>
        <w:pageBreakBefore w:val="0"/>
        <w:kinsoku/>
        <w:wordWrap/>
        <w:overflowPunct/>
        <w:topLinePunct w:val="0"/>
        <w:bidi w:val="0"/>
        <w:snapToGrid/>
        <w:spacing w:beforeAutospacing="0" w:afterAutospacing="0" w:line="360" w:lineRule="auto"/>
        <w:jc w:val="center"/>
        <w:textAlignment w:val="auto"/>
        <w:rPr>
          <w:rFonts w:ascii="宋体" w:hAnsi="宋体" w:eastAsia="宋体"/>
          <w:sz w:val="21"/>
          <w:szCs w:val="22"/>
        </w:rPr>
      </w:pPr>
      <w:r>
        <w:rPr>
          <w:rFonts w:hint="eastAsia" w:ascii="宋体" w:hAnsi="宋体" w:eastAsia="宋体"/>
          <w:sz w:val="21"/>
          <w:szCs w:val="22"/>
        </w:rPr>
        <w:t>XXXX大学 管理科学与工程学院，蚌埠，233030</w:t>
      </w:r>
    </w:p>
    <w:p>
      <w:pPr>
        <w:pageBreakBefore w:val="0"/>
        <w:kinsoku/>
        <w:wordWrap/>
        <w:overflowPunct/>
        <w:topLinePunct w:val="0"/>
        <w:bidi w:val="0"/>
        <w:snapToGrid/>
        <w:spacing w:beforeAutospacing="0" w:afterAutospacing="0" w:line="360" w:lineRule="auto"/>
        <w:textAlignment w:val="auto"/>
        <w:rPr>
          <w:rFonts w:ascii="宋体" w:hAnsi="宋体" w:eastAsia="宋体"/>
          <w:sz w:val="24"/>
          <w:szCs w:val="24"/>
        </w:rPr>
      </w:pPr>
      <w:r>
        <w:rPr>
          <w:rFonts w:hint="eastAsia" w:ascii="宋体" w:hAnsi="宋体" w:eastAsia="宋体"/>
          <w:b/>
          <w:bCs/>
          <w:sz w:val="24"/>
          <w:szCs w:val="24"/>
        </w:rPr>
        <w:t>摘要：</w:t>
      </w:r>
      <w:r>
        <w:rPr>
          <w:rFonts w:hint="eastAsia" w:ascii="宋体" w:hAnsi="宋体" w:eastAsia="宋体"/>
          <w:sz w:val="24"/>
          <w:szCs w:val="24"/>
        </w:rPr>
        <w:t>研究了一类考虑感染者死亡后具有传染能力的时滞埃博拉病毒传播模型。以感染者染病后到死亡所经历的时间周期时滞为分岔参数，推导出模型局部渐近稳定和产生H</w:t>
      </w:r>
      <w:r>
        <w:rPr>
          <w:rFonts w:ascii="宋体" w:hAnsi="宋体" w:eastAsia="宋体"/>
          <w:sz w:val="24"/>
          <w:szCs w:val="24"/>
        </w:rPr>
        <w:t>opf</w:t>
      </w:r>
      <w:r>
        <w:rPr>
          <w:rFonts w:hint="eastAsia" w:ascii="宋体" w:hAnsi="宋体" w:eastAsia="宋体"/>
          <w:sz w:val="24"/>
          <w:szCs w:val="24"/>
        </w:rPr>
        <w:t>分岔的充分条件。进而利用中心流形法计算出确定H</w:t>
      </w:r>
      <w:r>
        <w:rPr>
          <w:rFonts w:ascii="宋体" w:hAnsi="宋体" w:eastAsia="宋体"/>
          <w:sz w:val="24"/>
          <w:szCs w:val="24"/>
        </w:rPr>
        <w:t>opf</w:t>
      </w:r>
      <w:r>
        <w:rPr>
          <w:rFonts w:hint="eastAsia" w:ascii="宋体" w:hAnsi="宋体" w:eastAsia="宋体"/>
          <w:sz w:val="24"/>
          <w:szCs w:val="24"/>
        </w:rPr>
        <w:t>分岔性质的显式公式。最后利用仿真示例验证了理论结果的正确性。</w:t>
      </w:r>
    </w:p>
    <w:p>
      <w:pPr>
        <w:pageBreakBefore w:val="0"/>
        <w:kinsoku/>
        <w:wordWrap/>
        <w:overflowPunct/>
        <w:topLinePunct w:val="0"/>
        <w:bidi w:val="0"/>
        <w:snapToGrid/>
        <w:spacing w:beforeAutospacing="0" w:afterAutospacing="0" w:line="360" w:lineRule="auto"/>
        <w:textAlignment w:val="auto"/>
        <w:rPr>
          <w:rFonts w:ascii="宋体" w:hAnsi="宋体" w:eastAsia="宋体"/>
          <w:sz w:val="24"/>
          <w:szCs w:val="24"/>
        </w:rPr>
      </w:pPr>
      <w:r>
        <w:rPr>
          <w:rFonts w:hint="eastAsia" w:ascii="宋体" w:hAnsi="宋体" w:eastAsia="宋体"/>
          <w:b/>
          <w:bCs/>
          <w:sz w:val="24"/>
          <w:szCs w:val="24"/>
        </w:rPr>
        <w:t>关键词：</w:t>
      </w:r>
      <w:r>
        <w:rPr>
          <w:rFonts w:hint="eastAsia" w:ascii="宋体" w:hAnsi="宋体" w:eastAsia="宋体"/>
          <w:sz w:val="24"/>
          <w:szCs w:val="24"/>
        </w:rPr>
        <w:t>埃博拉病毒；时滞；S</w:t>
      </w:r>
      <w:r>
        <w:rPr>
          <w:rFonts w:ascii="宋体" w:hAnsi="宋体" w:eastAsia="宋体"/>
          <w:sz w:val="24"/>
          <w:szCs w:val="24"/>
        </w:rPr>
        <w:t>EIDR</w:t>
      </w:r>
      <w:r>
        <w:rPr>
          <w:rFonts w:hint="eastAsia" w:ascii="宋体" w:hAnsi="宋体" w:eastAsia="宋体"/>
          <w:sz w:val="24"/>
          <w:szCs w:val="24"/>
        </w:rPr>
        <w:t>模型；H</w:t>
      </w:r>
      <w:r>
        <w:rPr>
          <w:rFonts w:ascii="宋体" w:hAnsi="宋体" w:eastAsia="宋体"/>
          <w:sz w:val="24"/>
          <w:szCs w:val="24"/>
        </w:rPr>
        <w:t>opf</w:t>
      </w:r>
      <w:r>
        <w:rPr>
          <w:rFonts w:hint="eastAsia" w:ascii="宋体" w:hAnsi="宋体" w:eastAsia="宋体"/>
          <w:sz w:val="24"/>
          <w:szCs w:val="24"/>
        </w:rPr>
        <w:t>分岔</w:t>
      </w:r>
    </w:p>
    <w:p>
      <w:pPr>
        <w:pageBreakBefore w:val="0"/>
        <w:kinsoku/>
        <w:wordWrap/>
        <w:overflowPunct/>
        <w:topLinePunct w:val="0"/>
        <w:bidi w:val="0"/>
        <w:snapToGrid/>
        <w:spacing w:beforeAutospacing="0" w:afterAutospacing="0" w:line="360" w:lineRule="auto"/>
        <w:textAlignment w:val="auto"/>
        <w:rPr>
          <w:rFonts w:ascii="宋体" w:hAnsi="宋体" w:eastAsia="宋体"/>
          <w:sz w:val="24"/>
          <w:szCs w:val="24"/>
        </w:rPr>
      </w:pPr>
      <w:r>
        <w:rPr>
          <w:rFonts w:hint="eastAsia" w:ascii="宋体" w:hAnsi="宋体" w:eastAsia="宋体"/>
          <w:sz w:val="24"/>
          <w:szCs w:val="24"/>
        </w:rPr>
        <w:t xml:space="preserve">中图分类号： </w:t>
      </w:r>
      <w:r>
        <w:rPr>
          <w:rFonts w:ascii="宋体" w:hAnsi="宋体" w:eastAsia="宋体"/>
          <w:sz w:val="24"/>
          <w:szCs w:val="24"/>
        </w:rPr>
        <w:t xml:space="preserve">O175.12     </w:t>
      </w:r>
      <w:r>
        <w:rPr>
          <w:rFonts w:hint="eastAsia" w:ascii="宋体" w:hAnsi="宋体" w:eastAsia="宋体"/>
          <w:sz w:val="24"/>
          <w:szCs w:val="24"/>
        </w:rPr>
        <w:t>文献标志码：A</w:t>
      </w:r>
    </w:p>
    <w:p>
      <w:pPr>
        <w:pageBreakBefore w:val="0"/>
        <w:kinsoku/>
        <w:wordWrap/>
        <w:overflowPunct/>
        <w:topLinePunct w:val="0"/>
        <w:bidi w:val="0"/>
        <w:snapToGrid/>
        <w:spacing w:beforeAutospacing="0" w:afterAutospacing="0" w:line="360" w:lineRule="auto"/>
        <w:jc w:val="center"/>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A delay SEIDR Ebola virus transmission model</w:t>
      </w:r>
    </w:p>
    <w:p>
      <w:pPr>
        <w:pageBreakBefore w:val="0"/>
        <w:kinsoku/>
        <w:wordWrap/>
        <w:overflowPunct/>
        <w:topLinePunct w:val="0"/>
        <w:bidi w:val="0"/>
        <w:snapToGrid/>
        <w:spacing w:beforeAutospacing="0" w:afterAutospacing="0" w:line="360" w:lineRule="auto"/>
        <w:jc w:val="center"/>
        <w:textAlignment w:val="auto"/>
        <w:rPr>
          <w:rFonts w:ascii="Times New Roman" w:hAnsi="Times New Roman"/>
          <w:sz w:val="24"/>
          <w:szCs w:val="24"/>
        </w:rPr>
      </w:pPr>
      <w:r>
        <w:rPr>
          <w:rFonts w:hint="eastAsia" w:ascii="Times New Roman" w:hAnsi="Times New Roman"/>
          <w:sz w:val="24"/>
          <w:szCs w:val="24"/>
        </w:rPr>
        <w:t>XXX XXX</w:t>
      </w:r>
      <w:r>
        <w:rPr>
          <w:rFonts w:ascii="Times New Roman" w:hAnsi="Times New Roman"/>
          <w:sz w:val="24"/>
          <w:szCs w:val="24"/>
        </w:rPr>
        <w:t>, XXX</w:t>
      </w:r>
      <w:r>
        <w:rPr>
          <w:rFonts w:hint="eastAsia" w:ascii="Times New Roman" w:hAnsi="Times New Roman"/>
          <w:sz w:val="24"/>
          <w:szCs w:val="24"/>
        </w:rPr>
        <w:t xml:space="preserve"> XXX</w:t>
      </w:r>
    </w:p>
    <w:p>
      <w:pPr>
        <w:pageBreakBefore w:val="0"/>
        <w:kinsoku/>
        <w:wordWrap/>
        <w:overflowPunct/>
        <w:topLinePunct w:val="0"/>
        <w:bidi w:val="0"/>
        <w:snapToGrid/>
        <w:spacing w:beforeAutospacing="0" w:afterAutospacing="0" w:line="360" w:lineRule="auto"/>
        <w:jc w:val="center"/>
        <w:textAlignment w:val="auto"/>
        <w:rPr>
          <w:rFonts w:ascii="Times New Roman" w:hAnsi="Times New Roman"/>
          <w:sz w:val="24"/>
          <w:szCs w:val="24"/>
        </w:rPr>
      </w:pPr>
      <w:r>
        <w:rPr>
          <w:rFonts w:ascii="Times New Roman" w:hAnsi="Times New Roman"/>
          <w:sz w:val="24"/>
          <w:szCs w:val="24"/>
        </w:rPr>
        <w:t xml:space="preserve">School of Management Science and Engineering, Anhui University of </w:t>
      </w:r>
      <w:r>
        <w:rPr>
          <w:rFonts w:hint="eastAsia" w:ascii="Times New Roman" w:hAnsi="Times New Roman"/>
          <w:sz w:val="24"/>
          <w:szCs w:val="24"/>
        </w:rPr>
        <w:t>XXX XXX</w:t>
      </w:r>
      <w:r>
        <w:rPr>
          <w:rFonts w:ascii="Times New Roman" w:hAnsi="Times New Roman"/>
          <w:sz w:val="24"/>
          <w:szCs w:val="24"/>
        </w:rPr>
        <w:t>, Bengbu 233030</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Abstract: </w:t>
      </w:r>
      <w:r>
        <w:rPr>
          <w:rFonts w:ascii="Times New Roman" w:hAnsi="Times New Roman" w:eastAsia="宋体" w:cs="Times New Roman"/>
          <w:sz w:val="24"/>
          <w:szCs w:val="24"/>
        </w:rPr>
        <w:t>A delayed Ebola virus transmission model considering the infectivity of infected people after death is studied. Taking the time delay due to the period from infection to death of the infected people as the bifurcation parameter, the sufficient conditions for the local asymptotic stability and Hopf bifurcation of the model are derived. Then the explicit formula to determine the Hopf bifurcation properties is calculated by using the central manifold method. Finally, a simulation example is used to verify the correctness of the theoretical results.</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Keywords: </w:t>
      </w:r>
      <w:r>
        <w:rPr>
          <w:rFonts w:ascii="Times New Roman" w:hAnsi="Times New Roman" w:eastAsia="宋体" w:cs="Times New Roman"/>
          <w:sz w:val="24"/>
          <w:szCs w:val="24"/>
        </w:rPr>
        <w:t>Ebola virus; Delay; SEIDR model; Hopf bifurcation</w:t>
      </w:r>
    </w:p>
    <w:p>
      <w:pPr>
        <w:pageBreakBefore w:val="0"/>
        <w:kinsoku/>
        <w:wordWrap/>
        <w:overflowPunct/>
        <w:topLinePunct w:val="0"/>
        <w:bidi w:val="0"/>
        <w:snapToGrid/>
        <w:spacing w:beforeAutospacing="0" w:afterAutospacing="0" w:line="360" w:lineRule="auto"/>
        <w:textAlignment w:val="auto"/>
        <w:rPr>
          <w:rFonts w:ascii="宋体" w:hAnsi="宋体" w:eastAsia="宋体"/>
          <w:b/>
          <w:bCs/>
          <w:sz w:val="24"/>
          <w:szCs w:val="24"/>
        </w:rPr>
      </w:pPr>
      <w:r>
        <w:rPr>
          <w:rFonts w:hint="eastAsia" w:ascii="黑体" w:hAnsi="黑体" w:eastAsia="黑体" w:cs="黑体"/>
          <w:sz w:val="24"/>
          <w:szCs w:val="24"/>
        </w:rPr>
        <w:t>0.引言（一级标题四号黑体）</w:t>
      </w:r>
    </w:p>
    <w:p>
      <w:pPr>
        <w:pageBreakBefore w:val="0"/>
        <w:kinsoku/>
        <w:wordWrap/>
        <w:overflowPunct/>
        <w:topLinePunct w:val="0"/>
        <w:autoSpaceDE w:val="0"/>
        <w:autoSpaceDN w:val="0"/>
        <w:bidi w:val="0"/>
        <w:adjustRightInd w:val="0"/>
        <w:snapToGrid/>
        <w:spacing w:beforeAutospacing="0" w:afterAutospacing="0" w:line="360" w:lineRule="auto"/>
        <w:textAlignment w:val="auto"/>
        <w:rPr>
          <w:rFonts w:hint="eastAsia" w:ascii="宋体" w:hAnsi="宋体" w:cs="宋体"/>
          <w:b/>
          <w:kern w:val="0"/>
          <w:sz w:val="24"/>
          <w:szCs w:val="24"/>
        </w:rPr>
      </w:pPr>
      <w:r>
        <w:rPr>
          <w:rFonts w:hint="eastAsia" w:ascii="黑体" w:hAnsi="黑体" w:eastAsia="黑体" w:cs="黑体"/>
          <w:sz w:val="24"/>
          <w:szCs w:val="24"/>
        </w:rPr>
        <w:t>1.模糊控制姿态角（一级标题四号黑体）</w:t>
      </w:r>
    </w:p>
    <w:p>
      <w:pPr>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cs="宋体"/>
          <w:b/>
          <w:kern w:val="0"/>
          <w:sz w:val="24"/>
          <w:szCs w:val="24"/>
        </w:rPr>
      </w:pPr>
      <w:r>
        <w:rPr>
          <w:rFonts w:hint="eastAsia" w:ascii="宋体" w:hAnsi="宋体" w:cs="宋体"/>
          <w:kern w:val="0"/>
          <w:sz w:val="24"/>
          <w:szCs w:val="24"/>
        </w:rPr>
        <w:t xml:space="preserve">  </w:t>
      </w:r>
      <w:r>
        <w:rPr>
          <w:rFonts w:hint="eastAsia" w:ascii="黑体" w:hAnsi="黑体" w:eastAsia="黑体" w:cs="黑体"/>
          <w:sz w:val="24"/>
          <w:szCs w:val="24"/>
        </w:rPr>
        <w:t xml:space="preserve"> 1.1 模糊化计算（二级标题小四号黑体）</w:t>
      </w:r>
    </w:p>
    <w:p>
      <w:pPr>
        <w:pageBreakBefore w:val="0"/>
        <w:widowControl/>
        <w:shd w:val="clear" w:color="auto" w:fill="FFFFFF"/>
        <w:kinsoku/>
        <w:wordWrap/>
        <w:overflowPunct/>
        <w:topLinePunct w:val="0"/>
        <w:bidi w:val="0"/>
        <w:snapToGrid/>
        <w:spacing w:beforeAutospacing="0" w:afterAutospacing="0" w:line="360" w:lineRule="auto"/>
        <w:ind w:firstLine="480" w:firstLineChars="200"/>
        <w:jc w:val="left"/>
        <w:textAlignment w:val="auto"/>
        <w:rPr>
          <w:rFonts w:hint="eastAsia" w:ascii="微软雅黑" w:hAnsi="微软雅黑" w:eastAsia="微软雅黑"/>
          <w:color w:val="333333"/>
          <w:sz w:val="24"/>
          <w:szCs w:val="24"/>
          <w:shd w:val="clear" w:color="auto" w:fill="FFFFFF"/>
        </w:rPr>
      </w:pPr>
      <w:r>
        <w:rPr>
          <w:rFonts w:hint="eastAsia" w:ascii="微软雅黑" w:hAnsi="微软雅黑" w:eastAsia="微软雅黑"/>
          <w:color w:val="333333"/>
          <w:sz w:val="24"/>
          <w:szCs w:val="24"/>
          <w:shd w:val="clear" w:color="auto" w:fill="FFFFFF"/>
        </w:rPr>
        <w:t xml:space="preserve">1.1.1 </w:t>
      </w:r>
    </w:p>
    <w:p>
      <w:pPr>
        <w:pageBreakBefore w:val="0"/>
        <w:kinsoku/>
        <w:wordWrap/>
        <w:overflowPunct/>
        <w:topLinePunct w:val="0"/>
        <w:bidi w:val="0"/>
        <w:snapToGrid/>
        <w:spacing w:beforeAutospacing="0" w:afterAutospacing="0" w:line="360" w:lineRule="auto"/>
        <w:textAlignment w:val="auto"/>
        <w:rPr>
          <w:rFonts w:ascii="宋体" w:hAnsi="宋体" w:eastAsia="宋体"/>
          <w:sz w:val="24"/>
          <w:szCs w:val="24"/>
        </w:rPr>
      </w:pPr>
      <w:r>
        <w:rPr>
          <w:rFonts w:ascii="宋体" w:hAnsi="宋体" w:eastAsia="宋体"/>
          <w:sz w:val="24"/>
          <w:szCs w:val="24"/>
        </w:rPr>
        <w:t>基金项目</w:t>
      </w:r>
      <w:r>
        <w:rPr>
          <w:rFonts w:hint="eastAsia" w:ascii="宋体" w:hAnsi="宋体" w:eastAsia="宋体"/>
          <w:sz w:val="24"/>
          <w:szCs w:val="24"/>
        </w:rPr>
        <w:t>：国家自然科学基金项目（</w:t>
      </w:r>
      <w:r>
        <w:rPr>
          <w:rFonts w:ascii="宋体" w:hAnsi="宋体" w:eastAsia="宋体"/>
          <w:sz w:val="24"/>
          <w:szCs w:val="24"/>
        </w:rPr>
        <w:t>1200xxxx</w:t>
      </w:r>
      <w:r>
        <w:rPr>
          <w:rFonts w:hint="eastAsia" w:ascii="宋体" w:hAnsi="宋体" w:eastAsia="宋体"/>
          <w:sz w:val="24"/>
          <w:szCs w:val="24"/>
        </w:rPr>
        <w:t>），安徽省高校自然科学研究重点项目（</w:t>
      </w:r>
      <w:r>
        <w:rPr>
          <w:rFonts w:ascii="宋体" w:hAnsi="宋体" w:eastAsia="宋体"/>
          <w:sz w:val="24"/>
          <w:szCs w:val="24"/>
        </w:rPr>
        <w:t>KJ2021Axxxx</w:t>
      </w:r>
      <w:r>
        <w:rPr>
          <w:rFonts w:hint="eastAsia" w:ascii="宋体" w:hAnsi="宋体" w:eastAsia="宋体"/>
          <w:sz w:val="24"/>
          <w:szCs w:val="24"/>
        </w:rPr>
        <w:t>）</w:t>
      </w:r>
    </w:p>
    <w:p>
      <w:pPr>
        <w:pageBreakBefore w:val="0"/>
        <w:kinsoku/>
        <w:wordWrap/>
        <w:overflowPunct/>
        <w:topLinePunct w:val="0"/>
        <w:bidi w:val="0"/>
        <w:snapToGrid/>
        <w:spacing w:beforeAutospacing="0" w:afterAutospacing="0" w:line="360" w:lineRule="auto"/>
        <w:textAlignment w:val="auto"/>
        <w:rPr>
          <w:rFonts w:hint="eastAsia" w:ascii="宋体" w:hAnsi="宋体" w:eastAsiaTheme="minorEastAsia"/>
          <w:sz w:val="24"/>
          <w:szCs w:val="24"/>
          <w:lang w:eastAsia="zh-CN"/>
        </w:rPr>
      </w:pPr>
      <w:r>
        <w:rPr>
          <w:rFonts w:hint="eastAsia" w:ascii="宋体" w:hAnsi="宋体" w:eastAsia="宋体"/>
          <w:sz w:val="24"/>
          <w:szCs w:val="24"/>
        </w:rPr>
        <w:t>作者简介：XXX(1982－)，男，山东聊城人，博士，教授，硕士生导师，研究方向为动力系统稳定性、分岔等研究工作。联系电话：</w:t>
      </w:r>
      <w:r>
        <w:rPr>
          <w:rFonts w:hint="eastAsia"/>
          <w:sz w:val="24"/>
          <w:szCs w:val="24"/>
        </w:rPr>
        <w:t>152xxxx0618；</w:t>
      </w:r>
      <w:r>
        <w:rPr>
          <w:sz w:val="24"/>
          <w:szCs w:val="24"/>
        </w:rPr>
        <w:t>E-mail：</w:t>
      </w:r>
      <w:r>
        <w:rPr>
          <w:rFonts w:hint="eastAsia"/>
          <w:color w:val="auto"/>
          <w:sz w:val="24"/>
          <w:szCs w:val="24"/>
        </w:rPr>
        <w:t>123456789@qq.com</w:t>
      </w:r>
      <w:r>
        <w:rPr>
          <w:rFonts w:hint="eastAsia"/>
          <w:color w:val="auto"/>
          <w:sz w:val="24"/>
          <w:szCs w:val="24"/>
          <w:lang w:eastAsia="zh-CN"/>
        </w:rPr>
        <w:t>。</w:t>
      </w:r>
    </w:p>
    <w:p>
      <w:pPr>
        <w:pageBreakBefore w:val="0"/>
        <w:kinsoku/>
        <w:wordWrap/>
        <w:overflowPunct/>
        <w:topLinePunct w:val="0"/>
        <w:bidi w:val="0"/>
        <w:snapToGrid/>
        <w:spacing w:beforeAutospacing="0" w:afterAutospacing="0" w:line="360" w:lineRule="auto"/>
        <w:textAlignment w:val="auto"/>
        <w:rPr>
          <w:rFonts w:hint="eastAsia" w:ascii="宋体" w:hAnsi="宋体" w:eastAsia="宋体"/>
          <w:sz w:val="24"/>
          <w:szCs w:val="24"/>
        </w:rPr>
      </w:pPr>
    </w:p>
    <w:p>
      <w:pPr>
        <w:pageBreakBefore w:val="0"/>
        <w:kinsoku/>
        <w:wordWrap/>
        <w:overflowPunct/>
        <w:topLinePunct w:val="0"/>
        <w:bidi w:val="0"/>
        <w:snapToGrid/>
        <w:spacing w:beforeAutospacing="0" w:afterAutospacing="0" w:line="360" w:lineRule="auto"/>
        <w:textAlignment w:val="auto"/>
        <w:rPr>
          <w:rFonts w:ascii="宋体" w:hAnsi="宋体" w:eastAsia="宋体"/>
          <w:b/>
          <w:bCs/>
          <w:sz w:val="24"/>
          <w:szCs w:val="24"/>
        </w:rPr>
      </w:pPr>
      <w:r>
        <w:rPr>
          <w:rFonts w:hint="eastAsia" w:ascii="黑体" w:hAnsi="黑体" w:eastAsia="黑体" w:cs="黑体"/>
          <w:sz w:val="24"/>
          <w:szCs w:val="24"/>
        </w:rPr>
        <w:t>参考文献</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袁媛.</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面向公共安全风险防控的疫情网络舆情预警研究</w:t>
      </w:r>
      <w:r>
        <w:rPr>
          <w:rFonts w:ascii="Times New Roman" w:hAnsi="Times New Roman" w:eastAsia="宋体" w:cs="Times New Roman"/>
          <w:sz w:val="24"/>
          <w:szCs w:val="24"/>
        </w:rPr>
        <w:t>——</w:t>
      </w:r>
      <w:r>
        <w:rPr>
          <w:rFonts w:hint="eastAsia" w:ascii="Times New Roman" w:hAnsi="Times New Roman" w:eastAsia="宋体" w:cs="Times New Roman"/>
          <w:sz w:val="24"/>
          <w:szCs w:val="24"/>
        </w:rPr>
        <w:t>以刚果埃博拉病毒为例 [</w:t>
      </w:r>
      <w:r>
        <w:rPr>
          <w:rFonts w:ascii="Times New Roman" w:hAnsi="Times New Roman" w:eastAsia="宋体" w:cs="Times New Roman"/>
          <w:sz w:val="24"/>
          <w:szCs w:val="24"/>
        </w:rPr>
        <w:t>J].</w:t>
      </w:r>
      <w:r>
        <w:rPr>
          <w:rFonts w:hint="eastAsia" w:ascii="Times New Roman" w:hAnsi="Times New Roman" w:eastAsia="宋体" w:cs="Times New Roman"/>
          <w:sz w:val="24"/>
          <w:szCs w:val="24"/>
        </w:rPr>
        <w:t>情报科学</w:t>
      </w:r>
      <w:r>
        <w:rPr>
          <w:rFonts w:ascii="Times New Roman" w:hAnsi="Times New Roman" w:eastAsia="宋体" w:cs="Times New Roman"/>
          <w:sz w:val="24"/>
          <w:szCs w:val="24"/>
        </w:rPr>
        <w:t>,</w:t>
      </w:r>
      <w:r>
        <w:rPr>
          <w:rFonts w:hint="eastAsia" w:ascii="Times New Roman" w:hAnsi="Times New Roman" w:eastAsia="宋体" w:cs="Times New Roman"/>
          <w:sz w:val="24"/>
          <w:szCs w:val="24"/>
        </w:rPr>
        <w:t>2022,40</w:t>
      </w:r>
      <w:r>
        <w:rPr>
          <w:rFonts w:ascii="Times New Roman" w:hAnsi="Times New Roman" w:eastAsia="宋体" w:cs="Times New Roman"/>
          <w:sz w:val="24"/>
          <w:szCs w:val="24"/>
        </w:rPr>
        <w:t xml:space="preserve">(1):44-50. </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 Tahir M, Shah S I A, Zaman G, Muhammad S. Ebola virus epidemic disease its modeling and</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stability analysis required abstain strategies [J]. Cogent Biology, 2018, 4(1):1-15.</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 Tahir M, Anwar N, Shah S I A, Khan T. Modeling and stability analysis of epidemic expansion disease Ebola virus with implications prevention in population [J]. Cogent Biology, 2019, 5(1):1-11.</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 Rafiq M, Ahmad W, Abbas M, Baleanu D. A reliable and competitive mathematical analysis of Ebola epidemic model [J]. Advances in Difference Equations, 2020,540(1):1-24.</w:t>
      </w:r>
    </w:p>
    <w:p>
      <w:pPr>
        <w:pageBreakBefore w:val="0"/>
        <w:kinsoku/>
        <w:wordWrap/>
        <w:overflowPunct/>
        <w:topLinePunct w:val="0"/>
        <w:bidi w:val="0"/>
        <w:snapToGrid/>
        <w:spacing w:beforeAutospacing="0" w:afterAutospacing="0"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 A</w:t>
      </w:r>
      <w:r>
        <w:rPr>
          <w:rFonts w:hint="eastAsia" w:ascii="Times New Roman" w:hAnsi="Times New Roman" w:eastAsia="宋体" w:cs="Times New Roman"/>
          <w:sz w:val="24"/>
          <w:szCs w:val="24"/>
        </w:rPr>
        <w:t>h</w:t>
      </w:r>
      <w:r>
        <w:rPr>
          <w:rFonts w:ascii="Times New Roman" w:hAnsi="Times New Roman" w:eastAsia="宋体" w:cs="Times New Roman"/>
          <w:sz w:val="24"/>
          <w:szCs w:val="24"/>
        </w:rPr>
        <w:t>mad W</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Rafiq M, Abbas M. Mathematical analysis to control the spread of Ebola virus epidemic through voluntary vaccination [J]. European Physical Journal Plus, 2020, 135(10):1-34.</w:t>
      </w:r>
    </w:p>
    <w:p>
      <w:pPr>
        <w:pageBreakBefore w:val="0"/>
        <w:kinsoku/>
        <w:wordWrap/>
        <w:overflowPunct/>
        <w:topLinePunct w:val="0"/>
        <w:bidi w:val="0"/>
        <w:snapToGrid/>
        <w:spacing w:beforeAutospacing="0" w:afterAutospacing="0" w:line="360" w:lineRule="auto"/>
        <w:textAlignment w:val="auto"/>
        <w:rPr>
          <w:rFonts w:ascii="微软雅黑" w:hAnsi="微软雅黑" w:eastAsia="微软雅黑"/>
          <w:color w:val="333333"/>
          <w:sz w:val="24"/>
          <w:szCs w:val="24"/>
          <w:shd w:val="clear" w:color="auto" w:fill="FFFFFF"/>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李文智,薛亚奎.</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一类埃博拉病毒的传染病模型分析[</w:t>
      </w:r>
      <w:r>
        <w:rPr>
          <w:rFonts w:ascii="Times New Roman" w:hAnsi="Times New Roman" w:eastAsia="宋体" w:cs="Times New Roman"/>
          <w:sz w:val="24"/>
          <w:szCs w:val="24"/>
        </w:rPr>
        <w:t xml:space="preserve">J]. </w:t>
      </w:r>
      <w:r>
        <w:rPr>
          <w:rFonts w:hint="eastAsia" w:ascii="Times New Roman" w:hAnsi="Times New Roman" w:eastAsia="宋体" w:cs="Times New Roman"/>
          <w:sz w:val="24"/>
          <w:szCs w:val="24"/>
        </w:rPr>
        <w:t>重庆理工大学学报(自然科学</w:t>
      </w:r>
      <w:r>
        <w:rPr>
          <w:rFonts w:ascii="Times New Roman" w:hAnsi="Times New Roman" w:eastAsia="宋体" w:cs="Times New Roman"/>
          <w:sz w:val="24"/>
          <w:szCs w:val="24"/>
        </w:rPr>
        <w:t>), 2020, 34(2):245-251.</w:t>
      </w:r>
    </w:p>
    <w:p>
      <w:pPr>
        <w:jc w:val="right"/>
        <w:rPr>
          <w:rFonts w:hint="default" w:ascii="华文仿宋" w:hAnsi="华文仿宋" w:eastAsia="华文仿宋" w:cs="华文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rFonts w:hint="default" w:ascii="楷体" w:hAnsi="楷体" w:eastAsia="楷体" w:cs="楷体"/>
          <w:sz w:val="21"/>
          <w:szCs w:val="21"/>
          <w:lang w:val="en-US" w:eastAsia="zh-CN"/>
        </w:rPr>
      </w:pPr>
    </w:p>
    <w:p>
      <w:pPr>
        <w:pStyle w:val="4"/>
        <w:rPr>
          <w:rFonts w:hint="eastAsia" w:ascii="楷体" w:hAnsi="楷体" w:eastAsia="楷体" w:cs="楷体"/>
          <w:sz w:val="21"/>
          <w:szCs w:val="21"/>
        </w:rPr>
      </w:pPr>
      <w:r>
        <w:rPr>
          <w:rFonts w:hint="eastAsia" w:ascii="宋体" w:hAnsi="宋体" w:eastAsia="宋体" w:cs="宋体"/>
          <w:b/>
          <w:bCs/>
          <w:sz w:val="21"/>
          <w:szCs w:val="21"/>
        </w:rPr>
        <w:t>基金项目：</w:t>
      </w:r>
      <w:r>
        <w:rPr>
          <w:rFonts w:hint="eastAsia" w:ascii="楷体" w:hAnsi="楷体" w:eastAsia="楷体" w:cs="楷体"/>
          <w:sz w:val="21"/>
          <w:szCs w:val="21"/>
          <w:lang w:val="en-US" w:eastAsia="zh-CN"/>
        </w:rPr>
        <w:t>国家</w:t>
      </w:r>
      <w:r>
        <w:rPr>
          <w:rFonts w:hint="eastAsia" w:ascii="楷体" w:hAnsi="楷体" w:eastAsia="楷体" w:cs="楷体"/>
          <w:sz w:val="21"/>
          <w:szCs w:val="21"/>
        </w:rPr>
        <w:t>社</w:t>
      </w:r>
      <w:r>
        <w:rPr>
          <w:rFonts w:hint="eastAsia" w:ascii="楷体" w:hAnsi="楷体" w:eastAsia="楷体" w:cs="楷体"/>
          <w:sz w:val="21"/>
          <w:szCs w:val="21"/>
          <w:lang w:val="en-US" w:eastAsia="zh-CN"/>
        </w:rPr>
        <w:t>会科学</w:t>
      </w:r>
      <w:r>
        <w:rPr>
          <w:rFonts w:hint="eastAsia" w:ascii="楷体" w:hAnsi="楷体" w:eastAsia="楷体" w:cs="楷体"/>
          <w:sz w:val="21"/>
          <w:szCs w:val="21"/>
        </w:rPr>
        <w:t>基</w:t>
      </w:r>
      <w:r>
        <w:rPr>
          <w:rFonts w:hint="eastAsia" w:ascii="楷体" w:hAnsi="楷体" w:eastAsia="楷体" w:cs="楷体"/>
          <w:sz w:val="21"/>
          <w:szCs w:val="21"/>
          <w:lang w:val="en-US" w:eastAsia="zh-CN"/>
        </w:rPr>
        <w:t>金</w:t>
      </w:r>
      <w:r>
        <w:rPr>
          <w:rFonts w:hint="eastAsia" w:ascii="楷体" w:hAnsi="楷体" w:eastAsia="楷体" w:cs="楷体"/>
          <w:sz w:val="21"/>
          <w:szCs w:val="21"/>
        </w:rPr>
        <w:t>重大项目“城市社区治理能力现代化的探索和实践创新研究”（项目编号：2020</w:t>
      </w:r>
      <w:r>
        <w:rPr>
          <w:rFonts w:hint="eastAsia" w:ascii="楷体" w:hAnsi="楷体" w:eastAsia="楷体" w:cs="楷体"/>
          <w:sz w:val="21"/>
          <w:szCs w:val="21"/>
          <w:lang w:val="en-US" w:eastAsia="zh-CN"/>
        </w:rPr>
        <w:t>SK</w:t>
      </w:r>
      <w:r>
        <w:rPr>
          <w:rFonts w:hint="eastAsia" w:ascii="楷体" w:hAnsi="楷体" w:eastAsia="楷体" w:cs="楷体"/>
          <w:sz w:val="21"/>
          <w:szCs w:val="21"/>
        </w:rPr>
        <w:t>011）。</w:t>
      </w:r>
    </w:p>
    <w:p>
      <w:pPr>
        <w:pStyle w:val="4"/>
        <w:rPr>
          <w:rFonts w:hint="default" w:ascii="楷体" w:hAnsi="楷体" w:eastAsia="楷体" w:cs="楷体"/>
          <w:sz w:val="21"/>
          <w:szCs w:val="21"/>
          <w:lang w:val="en-US"/>
        </w:rPr>
      </w:pPr>
      <w:r>
        <w:rPr>
          <w:rFonts w:hint="eastAsia" w:ascii="宋体" w:hAnsi="宋体" w:eastAsia="宋体" w:cs="宋体"/>
          <w:b/>
          <w:bCs/>
          <w:sz w:val="21"/>
          <w:szCs w:val="21"/>
        </w:rPr>
        <w:t>作者简介：</w:t>
      </w:r>
      <w:r>
        <w:rPr>
          <w:rFonts w:hint="eastAsia" w:ascii="楷体" w:hAnsi="楷体" w:eastAsia="楷体" w:cs="楷体"/>
          <w:sz w:val="21"/>
          <w:szCs w:val="21"/>
          <w:lang w:val="en-US" w:eastAsia="zh-CN"/>
        </w:rPr>
        <w:t>张三</w:t>
      </w:r>
      <w:r>
        <w:rPr>
          <w:rFonts w:hint="eastAsia" w:ascii="楷体" w:hAnsi="楷体" w:eastAsia="楷体" w:cs="楷体"/>
          <w:sz w:val="21"/>
          <w:szCs w:val="21"/>
        </w:rPr>
        <w:t>，男，</w:t>
      </w:r>
      <w:r>
        <w:rPr>
          <w:rFonts w:hint="eastAsia" w:ascii="楷体" w:hAnsi="楷体" w:eastAsia="楷体" w:cs="楷体"/>
          <w:sz w:val="21"/>
          <w:szCs w:val="21"/>
          <w:lang w:val="en-US" w:eastAsia="zh-CN"/>
        </w:rPr>
        <w:t>湖北黄石</w:t>
      </w:r>
      <w:r>
        <w:rPr>
          <w:rFonts w:hint="eastAsia" w:ascii="楷体" w:hAnsi="楷体" w:eastAsia="楷体" w:cs="楷体"/>
          <w:sz w:val="21"/>
          <w:szCs w:val="21"/>
        </w:rPr>
        <w:t>人，</w:t>
      </w:r>
      <w:r>
        <w:rPr>
          <w:rFonts w:hint="eastAsia" w:ascii="楷体" w:hAnsi="楷体" w:eastAsia="楷体" w:cs="楷体"/>
          <w:sz w:val="21"/>
          <w:szCs w:val="21"/>
          <w:lang w:val="en-US" w:eastAsia="zh-CN"/>
        </w:rPr>
        <w:t>现为北京</w:t>
      </w:r>
      <w:r>
        <w:rPr>
          <w:rFonts w:hint="eastAsia" w:ascii="楷体" w:hAnsi="楷体" w:eastAsia="楷体" w:cs="楷体"/>
          <w:sz w:val="21"/>
          <w:szCs w:val="21"/>
        </w:rPr>
        <w:t>大学</w:t>
      </w:r>
      <w:r>
        <w:rPr>
          <w:rFonts w:hint="eastAsia" w:ascii="楷体" w:hAnsi="楷体" w:eastAsia="楷体" w:cs="楷体"/>
          <w:sz w:val="21"/>
          <w:szCs w:val="21"/>
          <w:lang w:val="en-US" w:eastAsia="zh-CN"/>
        </w:rPr>
        <w:t>马克思主义学院教授</w:t>
      </w:r>
      <w:r>
        <w:rPr>
          <w:rFonts w:hint="eastAsia" w:ascii="楷体" w:hAnsi="楷体" w:eastAsia="楷体" w:cs="楷体"/>
          <w:sz w:val="21"/>
          <w:szCs w:val="21"/>
        </w:rPr>
        <w:t>，博士，</w:t>
      </w:r>
      <w:r>
        <w:rPr>
          <w:rFonts w:hint="eastAsia" w:ascii="楷体" w:hAnsi="楷体" w:eastAsia="楷体" w:cs="楷体"/>
          <w:sz w:val="21"/>
          <w:szCs w:val="21"/>
          <w:lang w:val="en-US" w:eastAsia="zh-CN"/>
        </w:rPr>
        <w:t>博士生导师，湖北师范学院中文系1987届毕业生，通讯地址：北京市海淀区11号北京大学马克思主义学院，联系电话：15971174568.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GU4NWM5ZDI5YTdiNDhhZWFlN2Y1NzFlMmJlOTMifQ=="/>
  </w:docVars>
  <w:rsids>
    <w:rsidRoot w:val="00000000"/>
    <w:rsid w:val="01772E19"/>
    <w:rsid w:val="05AC35CF"/>
    <w:rsid w:val="0A747FB8"/>
    <w:rsid w:val="0F092C7F"/>
    <w:rsid w:val="20DC3283"/>
    <w:rsid w:val="23A47C2F"/>
    <w:rsid w:val="41426023"/>
    <w:rsid w:val="48EA6467"/>
    <w:rsid w:val="51C770FB"/>
    <w:rsid w:val="58DA279D"/>
    <w:rsid w:val="5C1C6965"/>
    <w:rsid w:val="5E36101A"/>
    <w:rsid w:val="6F2172D1"/>
    <w:rsid w:val="720F08DE"/>
    <w:rsid w:val="7BE3424D"/>
    <w:rsid w:val="7C8969CE"/>
    <w:rsid w:val="7F57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note text"/>
    <w:basedOn w:val="1"/>
    <w:qFormat/>
    <w:uiPriority w:val="0"/>
    <w:pPr>
      <w:snapToGrid w:val="0"/>
      <w:jc w:val="left"/>
    </w:pPr>
    <w:rPr>
      <w:sz w:val="18"/>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4345</Words>
  <Characters>6905</Characters>
  <Lines>0</Lines>
  <Paragraphs>0</Paragraphs>
  <TotalTime>14</TotalTime>
  <ScaleCrop>false</ScaleCrop>
  <LinksUpToDate>false</LinksUpToDate>
  <CharactersWithSpaces>7462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2021-10-12T09:01:00Z</dcterms:created>
  <dc:creator>Lenovo</dc:creator>
  <cp:lastModifiedBy>memo</cp:lastModifiedBy>
  <cp:lastPrinted>2023-06-21T05:36:00Z</cp:lastPrinted>
  <dcterms:modified xsi:type="dcterms:W3CDTF">2023-06-25T08:35:04Z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AF7DC293944F42F3BD17532AB265AF4F_13</vt:lpwstr>
  </property>
</Properties>
</file>